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D0A0A">
      <w:pPr>
        <w:widowControl/>
        <w:spacing w:after="0" w:line="240" w:lineRule="auto"/>
        <w:jc w:val="both"/>
        <w:rPr>
          <w:rFonts w:hint="eastAsia" w:ascii="仿宋_GB2312" w:hAnsi="仿宋_GB2312" w:eastAsia="仿宋_GB2312" w:cs="仿宋_GB2312"/>
          <w:color w:val="000000" w:themeColor="text1"/>
          <w:sz w:val="32"/>
          <w:szCs w:val="32"/>
          <w14:textFill>
            <w14:solidFill>
              <w14:schemeClr w14:val="tx1"/>
            </w14:solidFill>
          </w14:textFill>
          <w14:ligatures w14:val="none"/>
        </w:rPr>
      </w:pPr>
      <w:r>
        <w:rPr>
          <w:rFonts w:hint="eastAsia" w:ascii="仿宋_GB2312" w:hAnsi="仿宋_GB2312" w:eastAsia="仿宋_GB2312" w:cs="仿宋_GB2312"/>
          <w:color w:val="000000" w:themeColor="text1"/>
          <w:sz w:val="32"/>
          <w:szCs w:val="32"/>
          <w14:textFill>
            <w14:solidFill>
              <w14:schemeClr w14:val="tx1"/>
            </w14:solidFill>
          </w14:textFill>
          <w14:ligatures w14:val="none"/>
        </w:rPr>
        <w:t>附件</w:t>
      </w:r>
      <w:r>
        <w:rPr>
          <w:rFonts w:hint="eastAsia" w:ascii="仿宋_GB2312" w:hAnsi="仿宋_GB2312" w:eastAsia="仿宋_GB2312" w:cs="仿宋_GB2312"/>
          <w:color w:val="000000" w:themeColor="text1"/>
          <w:sz w:val="32"/>
          <w:szCs w:val="32"/>
          <w14:textFill>
            <w14:solidFill>
              <w14:schemeClr w14:val="tx1"/>
            </w14:solidFill>
          </w14:textFill>
          <w14:ligatures w14:val="none"/>
        </w:rPr>
        <w:t>5</w:t>
      </w:r>
    </w:p>
    <w:p w14:paraId="696B31CB">
      <w:pPr>
        <w:widowControl/>
        <w:spacing w:after="312" w:afterLines="100" w:line="240" w:lineRule="auto"/>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缴费方式</w:t>
      </w:r>
      <w:bookmarkStart w:id="0" w:name="_GoBack"/>
      <w:bookmarkEnd w:id="0"/>
    </w:p>
    <w:p w14:paraId="7A2B4884">
      <w:pPr>
        <w:numPr>
          <w:numId w:val="0"/>
        </w:numPr>
        <w:spacing w:line="360" w:lineRule="auto"/>
        <w:ind w:left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"http://202.119.189.229/WFManager/home2.jsp"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访问中国药科大学财务处综合信息门户</w:t>
      </w:r>
      <w:r>
        <w:rPr>
          <w:rFonts w:hint="eastAsia" w:ascii="仿宋_GB2312" w:hAnsi="仿宋_GB2312" w:eastAsia="仿宋_GB2312" w:cs="仿宋_GB2312"/>
          <w:sz w:val="28"/>
          <w:szCs w:val="28"/>
        </w:rPr>
        <w:fldChar w:fldCharType="end"/>
      </w:r>
    </w:p>
    <w:p w14:paraId="277CD499">
      <w:pPr>
        <w:spacing w:line="360" w:lineRule="auto"/>
        <w:jc w:val="both"/>
        <w:rPr>
          <w:rFonts w:hint="eastAsia" w:ascii="仿宋_GB2312" w:hAnsi="仿宋_GB2312" w:eastAsia="仿宋_GB2312" w:cs="仿宋_GB2312"/>
          <w:sz w:val="24"/>
        </w:rPr>
      </w:pPr>
      <w:r>
        <w:rPr>
          <w:rFonts w:hint="eastAsia" w:ascii="仿宋_GB2312" w:hAnsi="仿宋_GB2312" w:eastAsia="仿宋_GB2312" w:cs="仿宋_GB2312"/>
          <w:sz w:val="28"/>
          <w:szCs w:val="28"/>
        </w:rPr>
        <w:t>财务系统：</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"http://202.119.189.229/WFManager/home2.jsp"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sz w:val="28"/>
          <w:szCs w:val="28"/>
          <w:u w:val="none"/>
        </w:rPr>
        <w:t>http://202.119.189.229/WFManager/home2.jsp</w:t>
      </w:r>
      <w:r>
        <w:rPr>
          <w:rStyle w:val="17"/>
          <w:rFonts w:hint="eastAsia" w:ascii="仿宋_GB2312" w:hAnsi="仿宋_GB2312" w:eastAsia="仿宋_GB2312" w:cs="仿宋_GB2312"/>
          <w:sz w:val="28"/>
          <w:szCs w:val="28"/>
          <w:u w:val="none"/>
        </w:rPr>
        <w:fldChar w:fldCharType="end"/>
      </w:r>
    </w:p>
    <w:p w14:paraId="5DB33CBB">
      <w:pPr>
        <w:numPr>
          <w:numId w:val="0"/>
        </w:numPr>
        <w:spacing w:line="360" w:lineRule="auto"/>
        <w:ind w:left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点击网上预约菜单→申请报销单，选择</w:t>
      </w:r>
      <w:r>
        <w:rPr>
          <w:rFonts w:hint="eastAsia" w:ascii="仿宋_GB2312" w:hAnsi="仿宋_GB2312" w:eastAsia="仿宋_GB2312" w:cs="仿宋_GB2312"/>
          <w:b/>
          <w:bCs/>
          <w:sz w:val="28"/>
          <w:szCs w:val="28"/>
        </w:rPr>
        <w:t>校内经费转账</w:t>
      </w:r>
      <w:r>
        <w:rPr>
          <w:rFonts w:hint="eastAsia" w:ascii="仿宋_GB2312" w:hAnsi="仿宋_GB2312" w:eastAsia="仿宋_GB2312" w:cs="仿宋_GB2312"/>
          <w:sz w:val="28"/>
          <w:szCs w:val="28"/>
        </w:rPr>
        <w:t>-支付方式选择</w:t>
      </w:r>
      <w:r>
        <w:rPr>
          <w:rFonts w:hint="eastAsia" w:ascii="仿宋_GB2312" w:hAnsi="仿宋_GB2312" w:eastAsia="仿宋_GB2312" w:cs="仿宋_GB2312"/>
          <w:b/>
          <w:bCs/>
          <w:sz w:val="28"/>
          <w:szCs w:val="28"/>
        </w:rPr>
        <w:t>转卡</w:t>
      </w:r>
      <w:r>
        <w:rPr>
          <w:rFonts w:hint="eastAsia" w:ascii="仿宋_GB2312" w:hAnsi="仿宋_GB2312" w:eastAsia="仿宋_GB2312" w:cs="仿宋_GB2312"/>
          <w:sz w:val="28"/>
          <w:szCs w:val="28"/>
        </w:rPr>
        <w:t>，在摘要中注明：</w:t>
      </w:r>
      <w:r>
        <w:rPr>
          <w:rFonts w:hint="eastAsia" w:ascii="仿宋_GB2312" w:hAnsi="仿宋_GB2312" w:eastAsia="仿宋_GB2312" w:cs="仿宋_GB2312"/>
          <w:b/>
          <w:bCs/>
          <w:sz w:val="28"/>
          <w:szCs w:val="28"/>
        </w:rPr>
        <w:t>中药学院天然药物实验中心大型仪器缴费</w:t>
      </w:r>
      <w:r>
        <w:rPr>
          <w:rFonts w:hint="eastAsia" w:ascii="仿宋_GB2312" w:hAnsi="仿宋_GB2312" w:eastAsia="仿宋_GB2312" w:cs="仿宋_GB2312"/>
          <w:sz w:val="28"/>
          <w:szCs w:val="28"/>
        </w:rPr>
        <w:t>。</w:t>
      </w:r>
    </w:p>
    <w:p w14:paraId="112E4D3B">
      <w:pPr>
        <w:spacing w:line="360" w:lineRule="auto"/>
        <w:jc w:val="both"/>
        <w:rPr>
          <w:rFonts w:ascii="Times New Roman" w:hAnsi="Times New Roman" w:eastAsia="宋体" w:cs="Times New Roman"/>
          <w:sz w:val="24"/>
        </w:rPr>
      </w:pPr>
      <w:r>
        <w:rPr>
          <w:rFonts w:ascii="Times New Roman" w:hAnsi="Times New Roman" w:eastAsia="宋体" w:cs="Times New Roman"/>
          <w:sz w:val="24"/>
        </w:rPr>
        <w:drawing>
          <wp:inline distT="0" distB="0" distL="0" distR="0">
            <wp:extent cx="5302885" cy="1869440"/>
            <wp:effectExtent l="0" t="0" r="0" b="0"/>
            <wp:docPr id="141430976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309761"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396321" cy="1902548"/>
                    </a:xfrm>
                    <a:prstGeom prst="rect">
                      <a:avLst/>
                    </a:prstGeom>
                    <a:noFill/>
                  </pic:spPr>
                </pic:pic>
              </a:graphicData>
            </a:graphic>
          </wp:inline>
        </w:drawing>
      </w:r>
    </w:p>
    <w:p w14:paraId="191083BB">
      <w:pPr>
        <w:spacing w:line="360" w:lineRule="auto"/>
        <w:jc w:val="both"/>
        <w:rPr>
          <w:rFonts w:ascii="Times New Roman" w:hAnsi="Times New Roman" w:eastAsia="宋体" w:cs="Times New Roman"/>
          <w:sz w:val="24"/>
        </w:rPr>
      </w:pPr>
    </w:p>
    <w:p w14:paraId="15238847">
      <w:pPr>
        <w:numPr>
          <w:numId w:val="0"/>
        </w:numPr>
        <w:spacing w:line="360" w:lineRule="auto"/>
        <w:ind w:left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点击下一步选择，费用项选择测试加工费，转入项目号【</w:t>
      </w:r>
      <w:r>
        <w:rPr>
          <w:rFonts w:hint="eastAsia" w:ascii="仿宋_GB2312" w:hAnsi="仿宋_GB2312" w:eastAsia="仿宋_GB2312" w:cs="仿宋_GB2312"/>
          <w:b/>
          <w:bCs/>
          <w:sz w:val="28"/>
          <w:szCs w:val="28"/>
        </w:rPr>
        <w:t>1190020001</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中药学院天然药物实验中心大型仪器开放经费</w:t>
      </w:r>
      <w:r>
        <w:rPr>
          <w:rFonts w:hint="eastAsia" w:ascii="仿宋_GB2312" w:hAnsi="仿宋_GB2312" w:eastAsia="仿宋_GB2312" w:cs="仿宋_GB2312"/>
          <w:sz w:val="28"/>
          <w:szCs w:val="28"/>
        </w:rPr>
        <w:t>，填写相应金额，在摘要中填写“</w:t>
      </w:r>
      <w:r>
        <w:rPr>
          <w:rFonts w:hint="eastAsia" w:ascii="仿宋_GB2312" w:hAnsi="仿宋_GB2312" w:eastAsia="仿宋_GB2312" w:cs="仿宋_GB2312"/>
          <w:b/>
          <w:bCs/>
          <w:sz w:val="28"/>
          <w:szCs w:val="28"/>
        </w:rPr>
        <w:t>预付款</w:t>
      </w:r>
      <w:r>
        <w:rPr>
          <w:rFonts w:hint="eastAsia" w:ascii="仿宋_GB2312" w:hAnsi="仿宋_GB2312" w:eastAsia="仿宋_GB2312" w:cs="仿宋_GB2312"/>
          <w:sz w:val="28"/>
          <w:szCs w:val="28"/>
        </w:rPr>
        <w:t>”或“</w:t>
      </w:r>
      <w:r>
        <w:rPr>
          <w:rFonts w:hint="eastAsia" w:ascii="仿宋_GB2312" w:hAnsi="仿宋_GB2312" w:eastAsia="仿宋_GB2312" w:cs="仿宋_GB2312"/>
          <w:b/>
          <w:bCs/>
          <w:sz w:val="28"/>
          <w:szCs w:val="28"/>
        </w:rPr>
        <w:t>缴费款</w:t>
      </w:r>
      <w:r>
        <w:rPr>
          <w:rFonts w:hint="eastAsia" w:ascii="仿宋_GB2312" w:hAnsi="仿宋_GB2312" w:eastAsia="仿宋_GB2312" w:cs="仿宋_GB2312"/>
          <w:sz w:val="28"/>
          <w:szCs w:val="28"/>
        </w:rPr>
        <w:t>”，并注明相应平台（</w:t>
      </w:r>
      <w:r>
        <w:rPr>
          <w:rFonts w:hint="eastAsia" w:ascii="仿宋_GB2312" w:hAnsi="仿宋_GB2312" w:eastAsia="仿宋_GB2312" w:cs="仿宋_GB2312"/>
          <w:b/>
          <w:bCs/>
          <w:sz w:val="28"/>
          <w:szCs w:val="28"/>
        </w:rPr>
        <w:t>细胞培养平台、分子生物平台、分析测试仪器平台</w:t>
      </w:r>
      <w:r>
        <w:rPr>
          <w:rFonts w:hint="eastAsia" w:ascii="仿宋_GB2312" w:hAnsi="仿宋_GB2312" w:eastAsia="仿宋_GB2312" w:cs="仿宋_GB2312"/>
          <w:sz w:val="28"/>
          <w:szCs w:val="28"/>
        </w:rPr>
        <w:t>）。凭财务报销预约单及缴费单交到财务待报销完成后拿到回执进行后续预约使用操作。</w:t>
      </w:r>
    </w:p>
    <w:p w14:paraId="145B321F">
      <w:pPr>
        <w:spacing w:line="360" w:lineRule="auto"/>
        <w:jc w:val="both"/>
        <w:rPr>
          <w:rFonts w:ascii="Times New Roman" w:hAnsi="Times New Roman" w:eastAsia="宋体" w:cs="Times New Roman"/>
          <w:sz w:val="24"/>
        </w:rPr>
      </w:pPr>
      <w:r>
        <w:rPr>
          <w:rFonts w:ascii="Times New Roman" w:hAnsi="Times New Roman" w:eastAsia="宋体" w:cs="Times New Roman"/>
          <w:sz w:val="24"/>
        </w:rPr>
        <w:drawing>
          <wp:inline distT="0" distB="0" distL="0" distR="0">
            <wp:extent cx="5397500" cy="995680"/>
            <wp:effectExtent l="0" t="0" r="0" b="0"/>
            <wp:docPr id="179117860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178608"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97031" cy="1014558"/>
                    </a:xfrm>
                    <a:prstGeom prst="rect">
                      <a:avLst/>
                    </a:prstGeom>
                    <a:noFill/>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F0"/>
    <w:rsid w:val="00024E42"/>
    <w:rsid w:val="00081EEB"/>
    <w:rsid w:val="000A189F"/>
    <w:rsid w:val="000E5B83"/>
    <w:rsid w:val="00124DC6"/>
    <w:rsid w:val="00137B4B"/>
    <w:rsid w:val="001F0BA3"/>
    <w:rsid w:val="00233A78"/>
    <w:rsid w:val="00276479"/>
    <w:rsid w:val="00287EF4"/>
    <w:rsid w:val="002A12DC"/>
    <w:rsid w:val="003417E5"/>
    <w:rsid w:val="00374B9E"/>
    <w:rsid w:val="003E0515"/>
    <w:rsid w:val="00406700"/>
    <w:rsid w:val="00420EFB"/>
    <w:rsid w:val="00454BE4"/>
    <w:rsid w:val="005368F1"/>
    <w:rsid w:val="005951B6"/>
    <w:rsid w:val="005A1470"/>
    <w:rsid w:val="005E6405"/>
    <w:rsid w:val="006113E7"/>
    <w:rsid w:val="006740B3"/>
    <w:rsid w:val="006915EE"/>
    <w:rsid w:val="0073519E"/>
    <w:rsid w:val="0077149C"/>
    <w:rsid w:val="00777B70"/>
    <w:rsid w:val="007876B7"/>
    <w:rsid w:val="007F5159"/>
    <w:rsid w:val="00A1110E"/>
    <w:rsid w:val="00A569DA"/>
    <w:rsid w:val="00AB61B3"/>
    <w:rsid w:val="00B003F4"/>
    <w:rsid w:val="00B67693"/>
    <w:rsid w:val="00B847F0"/>
    <w:rsid w:val="00C27242"/>
    <w:rsid w:val="00C952FA"/>
    <w:rsid w:val="00CB201B"/>
    <w:rsid w:val="00D22AF6"/>
    <w:rsid w:val="00D731E3"/>
    <w:rsid w:val="00DC6F09"/>
    <w:rsid w:val="00DE7378"/>
    <w:rsid w:val="00F255D9"/>
    <w:rsid w:val="00F275E7"/>
    <w:rsid w:val="00F447F1"/>
    <w:rsid w:val="03335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6"/>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customStyle="1" w:styleId="18">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6"/>
    <w:link w:val="3"/>
    <w:semiHidden/>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6"/>
    <w:link w:val="5"/>
    <w:semiHidden/>
    <w:uiPriority w:val="9"/>
    <w:rPr>
      <w:rFonts w:cstheme="majorBidi"/>
      <w:color w:val="2F5597" w:themeColor="accent1" w:themeShade="BF"/>
      <w:sz w:val="28"/>
      <w:szCs w:val="28"/>
    </w:rPr>
  </w:style>
  <w:style w:type="character" w:customStyle="1" w:styleId="22">
    <w:name w:val="标题 5 字符"/>
    <w:basedOn w:val="16"/>
    <w:link w:val="6"/>
    <w:semiHidden/>
    <w:qFormat/>
    <w:uiPriority w:val="9"/>
    <w:rPr>
      <w:rFonts w:cstheme="majorBidi"/>
      <w:color w:val="2F5597" w:themeColor="accent1" w:themeShade="BF"/>
      <w:sz w:val="24"/>
    </w:rPr>
  </w:style>
  <w:style w:type="character" w:customStyle="1" w:styleId="23">
    <w:name w:val="标题 6 字符"/>
    <w:basedOn w:val="16"/>
    <w:link w:val="7"/>
    <w:semiHidden/>
    <w:uiPriority w:val="9"/>
    <w:rPr>
      <w:rFonts w:cstheme="majorBidi"/>
      <w:b/>
      <w:bCs/>
      <w:color w:val="2F5597" w:themeColor="accent1" w:themeShade="BF"/>
    </w:rPr>
  </w:style>
  <w:style w:type="character" w:customStyle="1" w:styleId="24">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6"/>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6"/>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6"/>
    <w:link w:val="33"/>
    <w:qFormat/>
    <w:uiPriority w:val="30"/>
    <w:rPr>
      <w:i/>
      <w:iCs/>
      <w:color w:val="2F5597" w:themeColor="accent1" w:themeShade="BF"/>
    </w:rPr>
  </w:style>
  <w:style w:type="character" w:customStyle="1" w:styleId="35">
    <w:name w:val="Intense Reference"/>
    <w:basedOn w:val="16"/>
    <w:qFormat/>
    <w:uiPriority w:val="32"/>
    <w:rPr>
      <w:b/>
      <w:bCs/>
      <w:smallCaps/>
      <w:color w:val="2F5597" w:themeColor="accent1" w:themeShade="BF"/>
      <w:spacing w:val="5"/>
    </w:rPr>
  </w:style>
  <w:style w:type="character" w:customStyle="1" w:styleId="36">
    <w:name w:val="页眉 字符"/>
    <w:basedOn w:val="16"/>
    <w:link w:val="12"/>
    <w:uiPriority w:val="99"/>
    <w:rPr>
      <w:sz w:val="18"/>
      <w:szCs w:val="18"/>
    </w:rPr>
  </w:style>
  <w:style w:type="character" w:customStyle="1" w:styleId="37">
    <w:name w:val="页脚 字符"/>
    <w:basedOn w:val="16"/>
    <w:link w:val="11"/>
    <w:qFormat/>
    <w:uiPriority w:val="99"/>
    <w:rPr>
      <w:sz w:val="18"/>
      <w:szCs w:val="18"/>
    </w:rPr>
  </w:style>
  <w:style w:type="character" w:customStyle="1" w:styleId="38">
    <w:name w:val="Unresolved Mention"/>
    <w:basedOn w:val="1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231</Words>
  <Characters>281</Characters>
  <Lines>9</Lines>
  <Paragraphs>8</Paragraphs>
  <TotalTime>43</TotalTime>
  <ScaleCrop>false</ScaleCrop>
  <LinksUpToDate>false</LinksUpToDate>
  <CharactersWithSpaces>281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2025-06-16T01:54:00Z</dcterms:created>
  <dc:creator>张杰</dc:creator>
  <cp:lastModifiedBy>刘善军</cp:lastModifiedBy>
  <dcterms:modified xsi:type="dcterms:W3CDTF">2025-09-16T02:20:35Z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eyJoZGlkIjoiYjJiMzdlNTJlMTQwOWEyNGEyMGFkOTg4MTJkNTIwYTciLCJ1c2VySWQiOiI0MzEwMTAyOTIifQ==</vt:lpwstr>
  </property>
  <property fmtid="{D5CDD505-2E9C-101B-9397-08002B2CF9AE}" pid="3" name="KSOProductBuildVer">
    <vt:lpwstr>2052-12.1.0.22529</vt:lpwstr>
  </property>
  <property fmtid="{D5CDD505-2E9C-101B-9397-08002B2CF9AE}" pid="4" name="ICV">
    <vt:lpwstr>038530AF297C46649EF0CC44A2AD3A3A_12</vt:lpwstr>
  </property>
</Properties>
</file>