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8318">
      <w:pPr>
        <w:jc w:val="both"/>
        <w:rPr>
          <w:rFonts w:hint="default" w:ascii="Times New Roman" w:hAnsi="Times New Roman" w:eastAsia="宋体" w:cs="Times New Roman"/>
          <w:b/>
          <w:bCs/>
          <w:i w:val="0"/>
          <w:iCs w:val="0"/>
          <w:caps w:val="0"/>
          <w:color w:val="333333"/>
          <w:spacing w:val="0"/>
          <w:sz w:val="20"/>
          <w:szCs w:val="20"/>
          <w:shd w:val="clear" w:fill="FFFFFF"/>
          <w:lang w:val="en-US" w:eastAsia="zh-CN"/>
        </w:rPr>
      </w:pPr>
      <w:bookmarkStart w:id="0" w:name="_GoBack"/>
      <w:bookmarkEnd w:id="0"/>
      <w:r>
        <w:rPr>
          <w:rFonts w:hint="default" w:ascii="Times New Roman" w:hAnsi="Times New Roman" w:eastAsia="宋体" w:cs="Times New Roman"/>
          <w:b/>
          <w:bCs/>
          <w:i w:val="0"/>
          <w:iCs w:val="0"/>
          <w:caps w:val="0"/>
          <w:color w:val="333333"/>
          <w:spacing w:val="0"/>
          <w:sz w:val="20"/>
          <w:szCs w:val="20"/>
          <w:shd w:val="clear" w:fill="FFFFFF"/>
          <w:lang w:val="en-US" w:eastAsia="zh-CN"/>
        </w:rPr>
        <w:t>附件1</w:t>
      </w:r>
    </w:p>
    <w:p w14:paraId="72614691">
      <w:pPr>
        <w:jc w:val="center"/>
        <w:rPr>
          <w:rFonts w:hint="eastAsia" w:ascii="sans-serif" w:hAnsi="sans-serif" w:cs="sans-serif"/>
          <w:b/>
          <w:bCs/>
          <w:i w:val="0"/>
          <w:iCs w:val="0"/>
          <w:caps w:val="0"/>
          <w:color w:val="333333"/>
          <w:spacing w:val="0"/>
          <w:sz w:val="20"/>
          <w:szCs w:val="20"/>
          <w:shd w:val="clear" w:fill="FFFFFF"/>
          <w:lang w:val="en-US" w:eastAsia="zh-CN"/>
        </w:rPr>
      </w:pPr>
      <w:r>
        <w:rPr>
          <w:rFonts w:hint="default" w:ascii="sans-serif" w:hAnsi="sans-serif" w:eastAsia="sans-serif" w:cs="sans-serif"/>
          <w:b/>
          <w:bCs/>
          <w:i w:val="0"/>
          <w:iCs w:val="0"/>
          <w:caps w:val="0"/>
          <w:color w:val="333333"/>
          <w:spacing w:val="0"/>
          <w:sz w:val="20"/>
          <w:szCs w:val="20"/>
          <w:shd w:val="clear" w:fill="FFFFFF"/>
        </w:rPr>
        <w:t>中国药科大学“创新中药”赛道暨附属</w:t>
      </w:r>
      <w:r>
        <w:rPr>
          <w:rFonts w:hint="eastAsia" w:ascii="sans-serif" w:hAnsi="sans-serif" w:cs="sans-serif"/>
          <w:b/>
          <w:bCs/>
          <w:i w:val="0"/>
          <w:iCs w:val="0"/>
          <w:caps w:val="0"/>
          <w:color w:val="333333"/>
          <w:spacing w:val="0"/>
          <w:sz w:val="20"/>
          <w:szCs w:val="20"/>
          <w:shd w:val="clear" w:fill="FFFFFF"/>
          <w:lang w:val="en-US" w:eastAsia="zh-CN"/>
        </w:rPr>
        <w:t>江宁</w:t>
      </w:r>
      <w:r>
        <w:rPr>
          <w:rFonts w:hint="default" w:ascii="sans-serif" w:hAnsi="sans-serif" w:eastAsia="sans-serif" w:cs="sans-serif"/>
          <w:b/>
          <w:bCs/>
          <w:i w:val="0"/>
          <w:iCs w:val="0"/>
          <w:caps w:val="0"/>
          <w:color w:val="333333"/>
          <w:spacing w:val="0"/>
          <w:sz w:val="20"/>
          <w:szCs w:val="20"/>
          <w:shd w:val="clear" w:fill="FFFFFF"/>
        </w:rPr>
        <w:t>中医院</w:t>
      </w:r>
      <w:r>
        <w:rPr>
          <w:rFonts w:hint="eastAsia" w:ascii="sans-serif" w:hAnsi="sans-serif" w:cs="sans-serif"/>
          <w:b/>
          <w:bCs/>
          <w:i w:val="0"/>
          <w:iCs w:val="0"/>
          <w:caps w:val="0"/>
          <w:color w:val="333333"/>
          <w:spacing w:val="0"/>
          <w:sz w:val="20"/>
          <w:szCs w:val="20"/>
          <w:shd w:val="clear" w:fill="FFFFFF"/>
          <w:lang w:val="en-US" w:eastAsia="zh-CN"/>
        </w:rPr>
        <w:t>“有组织科研”联合攻关项目</w:t>
      </w:r>
    </w:p>
    <w:p w14:paraId="654F7BCC">
      <w:pPr>
        <w:rPr>
          <w:rFonts w:hint="eastAsia" w:ascii="sans-serif" w:hAnsi="sans-serif" w:cs="sans-serif"/>
          <w:b/>
          <w:bCs/>
          <w:i w:val="0"/>
          <w:iCs w:val="0"/>
          <w:caps w:val="0"/>
          <w:color w:val="333333"/>
          <w:spacing w:val="0"/>
          <w:sz w:val="20"/>
          <w:szCs w:val="20"/>
          <w:shd w:val="clear" w:fill="FFFFFF"/>
          <w:lang w:val="en-US" w:eastAsia="zh-CN"/>
        </w:rPr>
      </w:pPr>
      <w:r>
        <w:rPr>
          <w:rFonts w:hint="eastAsia" w:ascii="sans-serif" w:hAnsi="sans-serif" w:cs="sans-serif"/>
          <w:b/>
          <w:bCs/>
          <w:i w:val="0"/>
          <w:iCs w:val="0"/>
          <w:caps w:val="0"/>
          <w:color w:val="333333"/>
          <w:spacing w:val="0"/>
          <w:sz w:val="20"/>
          <w:szCs w:val="20"/>
          <w:shd w:val="clear" w:fill="FFFFFF"/>
          <w:lang w:val="en-US" w:eastAsia="zh-CN"/>
        </w:rPr>
        <w:t>一、重点支持项目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815"/>
      </w:tblGrid>
      <w:tr w14:paraId="5B2E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F11470D">
            <w:pPr>
              <w:jc w:val="center"/>
              <w:rPr>
                <w:rFonts w:hint="default" w:ascii="sans-serif" w:hAnsi="sans-serif" w:cs="sans-serif"/>
                <w:b/>
                <w:bCs/>
                <w:i w:val="0"/>
                <w:iCs w:val="0"/>
                <w:caps w:val="0"/>
                <w:color w:val="333333"/>
                <w:spacing w:val="0"/>
                <w:sz w:val="20"/>
                <w:szCs w:val="20"/>
                <w:shd w:val="clear" w:fill="FFFFFF"/>
                <w:vertAlign w:val="baseline"/>
                <w:lang w:val="en-US" w:eastAsia="zh-CN"/>
              </w:rPr>
            </w:pPr>
            <w:r>
              <w:rPr>
                <w:rFonts w:hint="eastAsia" w:ascii="sans-serif" w:hAnsi="sans-serif" w:cs="sans-serif"/>
                <w:b/>
                <w:bCs/>
                <w:i w:val="0"/>
                <w:iCs w:val="0"/>
                <w:caps w:val="0"/>
                <w:color w:val="333333"/>
                <w:spacing w:val="0"/>
                <w:sz w:val="20"/>
                <w:szCs w:val="20"/>
                <w:shd w:val="clear" w:fill="FFFFFF"/>
                <w:vertAlign w:val="baseline"/>
                <w:lang w:val="en-US" w:eastAsia="zh-CN"/>
              </w:rPr>
              <w:t>序号</w:t>
            </w:r>
          </w:p>
        </w:tc>
        <w:tc>
          <w:tcPr>
            <w:tcW w:w="11815" w:type="dxa"/>
            <w:vAlign w:val="center"/>
          </w:tcPr>
          <w:p w14:paraId="4FF5B9DC">
            <w:pPr>
              <w:jc w:val="center"/>
              <w:rPr>
                <w:rFonts w:hint="default" w:ascii="sans-serif" w:hAnsi="sans-serif" w:cs="sans-serif"/>
                <w:b/>
                <w:bCs/>
                <w:i w:val="0"/>
                <w:iCs w:val="0"/>
                <w:caps w:val="0"/>
                <w:color w:val="333333"/>
                <w:spacing w:val="0"/>
                <w:sz w:val="20"/>
                <w:szCs w:val="20"/>
                <w:shd w:val="clear" w:fill="FFFFFF"/>
                <w:vertAlign w:val="baseline"/>
                <w:lang w:val="en-US" w:eastAsia="zh-CN"/>
              </w:rPr>
            </w:pPr>
            <w:r>
              <w:rPr>
                <w:rFonts w:hint="eastAsia" w:ascii="sans-serif" w:hAnsi="sans-serif" w:cs="sans-serif"/>
                <w:b/>
                <w:bCs/>
                <w:i w:val="0"/>
                <w:iCs w:val="0"/>
                <w:caps w:val="0"/>
                <w:color w:val="333333"/>
                <w:spacing w:val="0"/>
                <w:sz w:val="20"/>
                <w:szCs w:val="20"/>
                <w:shd w:val="clear" w:fill="FFFFFF"/>
                <w:vertAlign w:val="baseline"/>
                <w:lang w:val="en-US" w:eastAsia="zh-CN"/>
              </w:rPr>
              <w:t>主要内容</w:t>
            </w:r>
          </w:p>
        </w:tc>
      </w:tr>
      <w:tr w14:paraId="6058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30" w:type="dxa"/>
            <w:vAlign w:val="center"/>
          </w:tcPr>
          <w:p w14:paraId="2CDF260F">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1</w:t>
            </w:r>
          </w:p>
        </w:tc>
        <w:tc>
          <w:tcPr>
            <w:tcW w:w="11815" w:type="dxa"/>
            <w:vAlign w:val="center"/>
          </w:tcPr>
          <w:p w14:paraId="213D467C">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基于TFRCNCOA4介导的铁自噬探讨玄丹散结汤调控铁死亡抑制子宫腺肌病的机制研究</w:t>
            </w:r>
          </w:p>
        </w:tc>
      </w:tr>
      <w:tr w14:paraId="71FB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04E02A4">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2</w:t>
            </w:r>
          </w:p>
        </w:tc>
        <w:tc>
          <w:tcPr>
            <w:tcW w:w="11815" w:type="dxa"/>
            <w:vAlign w:val="center"/>
          </w:tcPr>
          <w:p w14:paraId="1C7BF2E5">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基于PI3K/AKT/mTOR通路对当归四逆汤调控细胞线粒体防治OIPN的机制研究</w:t>
            </w:r>
          </w:p>
        </w:tc>
      </w:tr>
      <w:tr w14:paraId="60C9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37471C2">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3</w:t>
            </w:r>
          </w:p>
        </w:tc>
        <w:tc>
          <w:tcPr>
            <w:tcW w:w="11815" w:type="dxa"/>
            <w:vAlign w:val="center"/>
          </w:tcPr>
          <w:p w14:paraId="76DD2233">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基于阴阳平衡理论及线粒体能量代谢探讨四逆散治疗大学生肝郁气滞型轻中度抑郁症的临床疗效及机制</w:t>
            </w:r>
          </w:p>
        </w:tc>
      </w:tr>
      <w:tr w14:paraId="6170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28168E0">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4</w:t>
            </w:r>
          </w:p>
        </w:tc>
        <w:tc>
          <w:tcPr>
            <w:tcW w:w="11815" w:type="dxa"/>
            <w:vAlign w:val="center"/>
          </w:tcPr>
          <w:p w14:paraId="0F0219D5">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从肠促胰素角度探讨益气清脑方抑制糖尿病脑病神经炎症的分子机制研究</w:t>
            </w:r>
          </w:p>
        </w:tc>
      </w:tr>
      <w:tr w14:paraId="24A8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E2D7D77">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5</w:t>
            </w:r>
          </w:p>
        </w:tc>
        <w:tc>
          <w:tcPr>
            <w:tcW w:w="11815" w:type="dxa"/>
            <w:vAlign w:val="center"/>
          </w:tcPr>
          <w:p w14:paraId="1F8412CA">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基于代谢组学和生物信息学的血必净注射液治疗脓毒症相关急性肾损伤的药效学及机制研究</w:t>
            </w:r>
          </w:p>
        </w:tc>
      </w:tr>
      <w:tr w14:paraId="0409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1D095C86">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6</w:t>
            </w:r>
          </w:p>
        </w:tc>
        <w:tc>
          <w:tcPr>
            <w:tcW w:w="11815" w:type="dxa"/>
            <w:vAlign w:val="center"/>
          </w:tcPr>
          <w:p w14:paraId="085BED2C">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益气化瘀解毒方调控肿瘤相关性巨噬细胞外泌体miRNA促进胃癌化疗增敏的机制研究</w:t>
            </w:r>
          </w:p>
        </w:tc>
      </w:tr>
      <w:tr w14:paraId="5582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B8DB4C7">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7</w:t>
            </w:r>
          </w:p>
        </w:tc>
        <w:tc>
          <w:tcPr>
            <w:tcW w:w="11815" w:type="dxa"/>
            <w:vAlign w:val="center"/>
          </w:tcPr>
          <w:p w14:paraId="45B9E50D">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祛风宣痹方靶向HIF-1α调控糖酵解影响ASMCs异常增殖的抗哮喘气道重塑机制研究</w:t>
            </w:r>
          </w:p>
        </w:tc>
      </w:tr>
      <w:tr w14:paraId="6164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2DA8A7D">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8</w:t>
            </w:r>
          </w:p>
        </w:tc>
        <w:tc>
          <w:tcPr>
            <w:tcW w:w="11815" w:type="dxa"/>
            <w:vAlign w:val="center"/>
          </w:tcPr>
          <w:p w14:paraId="447ED98E">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健脾贴外用穴位贴敷治疗脾虚夹积型积滞的临床与机制研究</w:t>
            </w:r>
          </w:p>
        </w:tc>
      </w:tr>
      <w:tr w14:paraId="6669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1EDE046">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9</w:t>
            </w:r>
          </w:p>
        </w:tc>
        <w:tc>
          <w:tcPr>
            <w:tcW w:w="11815" w:type="dxa"/>
            <w:vAlign w:val="center"/>
          </w:tcPr>
          <w:p w14:paraId="11E5117B">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益气活血方调控线粒体稳态治疗缺血性心衰气虚血瘀证的作用机制研究</w:t>
            </w:r>
          </w:p>
        </w:tc>
      </w:tr>
      <w:tr w14:paraId="1CF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D72F070">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10</w:t>
            </w:r>
          </w:p>
        </w:tc>
        <w:tc>
          <w:tcPr>
            <w:tcW w:w="11815" w:type="dxa"/>
            <w:vAlign w:val="center"/>
          </w:tcPr>
          <w:p w14:paraId="62F4E80E">
            <w:pPr>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益气活血方联合维立西呱治疗气虚血瘀型HFrEF的临床与机制研究</w:t>
            </w:r>
          </w:p>
        </w:tc>
      </w:tr>
      <w:tr w14:paraId="17D6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A777898">
            <w:pPr>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eastAsia" w:ascii="Times New Roman" w:hAnsi="Times New Roman" w:cs="Times New Roman"/>
                <w:i w:val="0"/>
                <w:iCs w:val="0"/>
                <w:caps w:val="0"/>
                <w:color w:val="333333"/>
                <w:spacing w:val="0"/>
                <w:sz w:val="20"/>
                <w:szCs w:val="20"/>
                <w:shd w:val="clear" w:fill="FFFFFF"/>
                <w:vertAlign w:val="baseline"/>
                <w:lang w:val="en-US" w:eastAsia="zh-CN"/>
              </w:rPr>
              <w:t>11</w:t>
            </w:r>
          </w:p>
        </w:tc>
        <w:tc>
          <w:tcPr>
            <w:tcW w:w="11815" w:type="dxa"/>
            <w:vAlign w:val="center"/>
          </w:tcPr>
          <w:p w14:paraId="62F49AAE">
            <w:pPr>
              <w:jc w:val="left"/>
              <w:rPr>
                <w:rFonts w:hint="eastAsia"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基于“醒脑开窍”理论探究铜砭刮痧联合吞咽训练对卒中后吞咽障碍患者的效果观察</w:t>
            </w:r>
          </w:p>
        </w:tc>
      </w:tr>
    </w:tbl>
    <w:p w14:paraId="10E78284">
      <w:pPr>
        <w:rPr>
          <w:rFonts w:hint="default" w:ascii="sans-serif" w:hAnsi="sans-serif" w:cs="sans-serif"/>
          <w:i w:val="0"/>
          <w:iCs w:val="0"/>
          <w:caps w:val="0"/>
          <w:color w:val="333333"/>
          <w:spacing w:val="0"/>
          <w:sz w:val="20"/>
          <w:szCs w:val="20"/>
          <w:shd w:val="clear" w:fill="FFFFFF"/>
          <w:lang w:val="en-US" w:eastAsia="zh-CN"/>
        </w:rPr>
      </w:pPr>
    </w:p>
    <w:p w14:paraId="7CA4053D">
      <w:pPr>
        <w:rPr>
          <w:rFonts w:hint="eastAsia" w:ascii="sans-serif" w:hAnsi="sans-serif" w:cs="sans-serif"/>
          <w:b/>
          <w:bCs/>
          <w:i w:val="0"/>
          <w:iCs w:val="0"/>
          <w:caps w:val="0"/>
          <w:color w:val="333333"/>
          <w:spacing w:val="0"/>
          <w:sz w:val="20"/>
          <w:szCs w:val="20"/>
          <w:shd w:val="clear" w:fill="FFFFFF"/>
          <w:lang w:val="en-US" w:eastAsia="zh-CN"/>
        </w:rPr>
      </w:pPr>
      <w:r>
        <w:rPr>
          <w:rFonts w:hint="eastAsia" w:ascii="sans-serif" w:hAnsi="sans-serif" w:cs="sans-serif"/>
          <w:b/>
          <w:bCs/>
          <w:i w:val="0"/>
          <w:iCs w:val="0"/>
          <w:caps w:val="0"/>
          <w:color w:val="333333"/>
          <w:spacing w:val="0"/>
          <w:sz w:val="20"/>
          <w:szCs w:val="20"/>
          <w:shd w:val="clear" w:fill="FFFFFF"/>
          <w:lang w:val="en-US" w:eastAsia="zh-CN"/>
        </w:rPr>
        <w:t>二、青年培育项目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815"/>
      </w:tblGrid>
      <w:tr w14:paraId="78F3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0" w:type="dxa"/>
            <w:vAlign w:val="center"/>
          </w:tcPr>
          <w:p w14:paraId="578CC297">
            <w:pPr>
              <w:jc w:val="center"/>
              <w:rPr>
                <w:rFonts w:hint="default" w:ascii="sans-serif" w:hAnsi="sans-serif" w:cs="sans-serif"/>
                <w:b/>
                <w:bCs/>
                <w:i w:val="0"/>
                <w:iCs w:val="0"/>
                <w:caps w:val="0"/>
                <w:color w:val="333333"/>
                <w:spacing w:val="0"/>
                <w:sz w:val="20"/>
                <w:szCs w:val="20"/>
                <w:shd w:val="clear" w:fill="FFFFFF"/>
                <w:vertAlign w:val="baseline"/>
                <w:lang w:val="en-US" w:eastAsia="zh-CN"/>
              </w:rPr>
            </w:pPr>
            <w:r>
              <w:rPr>
                <w:rFonts w:hint="eastAsia" w:ascii="sans-serif" w:hAnsi="sans-serif" w:cs="sans-serif"/>
                <w:b/>
                <w:bCs/>
                <w:i w:val="0"/>
                <w:iCs w:val="0"/>
                <w:caps w:val="0"/>
                <w:color w:val="333333"/>
                <w:spacing w:val="0"/>
                <w:sz w:val="20"/>
                <w:szCs w:val="20"/>
                <w:shd w:val="clear" w:fill="FFFFFF"/>
                <w:vertAlign w:val="baseline"/>
                <w:lang w:val="en-US" w:eastAsia="zh-CN"/>
              </w:rPr>
              <w:t>序号</w:t>
            </w:r>
          </w:p>
        </w:tc>
        <w:tc>
          <w:tcPr>
            <w:tcW w:w="11815" w:type="dxa"/>
            <w:vAlign w:val="center"/>
          </w:tcPr>
          <w:p w14:paraId="7CE40AC6">
            <w:pPr>
              <w:jc w:val="center"/>
              <w:rPr>
                <w:rFonts w:hint="default" w:ascii="sans-serif" w:hAnsi="sans-serif" w:cs="sans-serif"/>
                <w:b/>
                <w:bCs/>
                <w:i w:val="0"/>
                <w:iCs w:val="0"/>
                <w:caps w:val="0"/>
                <w:color w:val="333333"/>
                <w:spacing w:val="0"/>
                <w:sz w:val="20"/>
                <w:szCs w:val="20"/>
                <w:shd w:val="clear" w:fill="FFFFFF"/>
                <w:vertAlign w:val="baseline"/>
                <w:lang w:val="en-US" w:eastAsia="zh-CN"/>
              </w:rPr>
            </w:pPr>
            <w:r>
              <w:rPr>
                <w:rFonts w:hint="eastAsia" w:ascii="sans-serif" w:hAnsi="sans-serif" w:cs="sans-serif"/>
                <w:b/>
                <w:bCs/>
                <w:i w:val="0"/>
                <w:iCs w:val="0"/>
                <w:caps w:val="0"/>
                <w:color w:val="333333"/>
                <w:spacing w:val="0"/>
                <w:sz w:val="20"/>
                <w:szCs w:val="20"/>
                <w:shd w:val="clear" w:fill="FFFFFF"/>
                <w:vertAlign w:val="baseline"/>
                <w:lang w:val="en-US" w:eastAsia="zh-CN"/>
              </w:rPr>
              <w:t>主要内容</w:t>
            </w:r>
          </w:p>
        </w:tc>
      </w:tr>
      <w:tr w14:paraId="678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30" w:type="dxa"/>
            <w:vAlign w:val="center"/>
          </w:tcPr>
          <w:p w14:paraId="3C80206A">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1</w:t>
            </w:r>
          </w:p>
        </w:tc>
        <w:tc>
          <w:tcPr>
            <w:tcW w:w="11815" w:type="dxa"/>
            <w:vAlign w:val="center"/>
          </w:tcPr>
          <w:p w14:paraId="7E8C87CA">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加味犀角地黄汤调控星形胶质细胞“Nrf2-胆固醇稳态”轴促进髓鞘再生进而改善卒中后认知功能障碍的机制研究</w:t>
            </w:r>
          </w:p>
        </w:tc>
      </w:tr>
      <w:tr w14:paraId="2DDA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7EAAC6E">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2</w:t>
            </w:r>
          </w:p>
        </w:tc>
        <w:tc>
          <w:tcPr>
            <w:tcW w:w="11815" w:type="dxa"/>
            <w:vAlign w:val="center"/>
          </w:tcPr>
          <w:p w14:paraId="77C36B1E">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基于SPP1+巨噬细胞探讨昆葵保肾方抗DKD肾纤维化的临床疗效及机制研究</w:t>
            </w:r>
          </w:p>
        </w:tc>
      </w:tr>
      <w:tr w14:paraId="1D33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vAlign w:val="center"/>
          </w:tcPr>
          <w:p w14:paraId="0733038D">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3</w:t>
            </w:r>
          </w:p>
        </w:tc>
        <w:tc>
          <w:tcPr>
            <w:tcW w:w="11815" w:type="dxa"/>
            <w:vAlign w:val="center"/>
          </w:tcPr>
          <w:p w14:paraId="33660691">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基于NF-κB-IL6信号通路探讨黄芪桂枝五物汤预防奥沙利铂慢性周围神经毒性机制</w:t>
            </w:r>
          </w:p>
        </w:tc>
      </w:tr>
      <w:tr w14:paraId="1CF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3F4FCB2">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4</w:t>
            </w:r>
          </w:p>
        </w:tc>
        <w:tc>
          <w:tcPr>
            <w:tcW w:w="11815" w:type="dxa"/>
            <w:vAlign w:val="center"/>
          </w:tcPr>
          <w:p w14:paraId="7FE38504">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基于“阳化气，阴成形”理论探讨内镜下治疗联合芪参仙术饮防治结直肠腺瘤的疗效观察及机制研究</w:t>
            </w:r>
          </w:p>
        </w:tc>
      </w:tr>
      <w:tr w14:paraId="3577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C8C6852">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5</w:t>
            </w:r>
          </w:p>
        </w:tc>
        <w:tc>
          <w:tcPr>
            <w:tcW w:w="11815" w:type="dxa"/>
            <w:vAlign w:val="center"/>
          </w:tcPr>
          <w:p w14:paraId="7C53E338">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天钩熄风方对风阳上扰型缺血性中风患者血管内皮功能及氧化应激机制的临床研究</w:t>
            </w:r>
          </w:p>
        </w:tc>
      </w:tr>
      <w:tr w14:paraId="0FB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8D97C0D">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6</w:t>
            </w:r>
          </w:p>
        </w:tc>
        <w:tc>
          <w:tcPr>
            <w:tcW w:w="11815" w:type="dxa"/>
            <w:vAlign w:val="center"/>
          </w:tcPr>
          <w:p w14:paraId="2292811A">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基于“筋骨并重”下针药疗法干预原发性骨质疏松症对其运动功能的影响：随机对照研究</w:t>
            </w:r>
          </w:p>
        </w:tc>
      </w:tr>
      <w:tr w14:paraId="23C8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44264321">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7</w:t>
            </w:r>
          </w:p>
        </w:tc>
        <w:tc>
          <w:tcPr>
            <w:tcW w:w="11815" w:type="dxa"/>
            <w:vAlign w:val="center"/>
          </w:tcPr>
          <w:p w14:paraId="1F78509C">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桃红四物汤对下肢骨折诱导急性血瘀证模型大鼠血小板活化分子的影响</w:t>
            </w:r>
          </w:p>
        </w:tc>
      </w:tr>
      <w:tr w14:paraId="6F71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05E3A48">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8</w:t>
            </w:r>
          </w:p>
        </w:tc>
        <w:tc>
          <w:tcPr>
            <w:tcW w:w="11815" w:type="dxa"/>
            <w:vAlign w:val="center"/>
          </w:tcPr>
          <w:p w14:paraId="19F70806">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 CRISPR-Cas12a微流控技术用于唾液中对幽门螺旋杆菌鉴定与毒力基因以及耐药基因的快速检测</w:t>
            </w:r>
          </w:p>
        </w:tc>
      </w:tr>
      <w:tr w14:paraId="6F78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0ED22B9F">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9</w:t>
            </w:r>
          </w:p>
        </w:tc>
        <w:tc>
          <w:tcPr>
            <w:tcW w:w="11815" w:type="dxa"/>
            <w:vAlign w:val="center"/>
          </w:tcPr>
          <w:p w14:paraId="4B838878">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基于“子午流注”理论运用胃苓汤联合择时穴位贴敷治疗IBS-D伴睡眠障碍的临床研究</w:t>
            </w:r>
          </w:p>
        </w:tc>
      </w:tr>
      <w:tr w14:paraId="3B0F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DBBDC42">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default" w:ascii="Times New Roman" w:hAnsi="Times New Roman" w:cs="Times New Roman"/>
                <w:i w:val="0"/>
                <w:iCs w:val="0"/>
                <w:caps w:val="0"/>
                <w:color w:val="333333"/>
                <w:spacing w:val="0"/>
                <w:sz w:val="20"/>
                <w:szCs w:val="20"/>
                <w:shd w:val="clear" w:fill="FFFFFF"/>
                <w:vertAlign w:val="baseline"/>
                <w:lang w:val="en-US" w:eastAsia="zh-CN"/>
              </w:rPr>
              <w:t>10</w:t>
            </w:r>
          </w:p>
        </w:tc>
        <w:tc>
          <w:tcPr>
            <w:tcW w:w="11815" w:type="dxa"/>
            <w:vAlign w:val="center"/>
          </w:tcPr>
          <w:p w14:paraId="7C974006">
            <w:pPr>
              <w:spacing w:line="240" w:lineRule="auto"/>
              <w:jc w:val="left"/>
              <w:rPr>
                <w:rFonts w:hint="default" w:ascii="sans-serif" w:hAnsi="sans-serif" w:cs="sans-serif"/>
                <w:i w:val="0"/>
                <w:iCs w:val="0"/>
                <w:caps w:val="0"/>
                <w:color w:val="333333"/>
                <w:spacing w:val="0"/>
                <w:sz w:val="20"/>
                <w:szCs w:val="20"/>
                <w:shd w:val="clear" w:fill="FFFFFF"/>
                <w:vertAlign w:val="baseline"/>
                <w:lang w:val="en-US" w:eastAsia="zh-CN"/>
              </w:rPr>
            </w:pPr>
            <w:r>
              <w:rPr>
                <w:rFonts w:hint="eastAsia" w:ascii="Times New Roman" w:hAnsi="Times New Roman" w:eastAsia="仿宋" w:cs="Times New Roman"/>
                <w:b w:val="0"/>
                <w:bCs w:val="0"/>
                <w:sz w:val="21"/>
                <w:szCs w:val="21"/>
                <w:vertAlign w:val="baseline"/>
                <w:lang w:val="en-US" w:eastAsia="zh-CN"/>
              </w:rPr>
              <w:t>SREBF2介导星形胶质细胞胆固醇合成障碍在新生期艾司氯胺酮麻醉致海马神经元突触可塑性损伤中的作用及机制研究</w:t>
            </w:r>
          </w:p>
        </w:tc>
      </w:tr>
      <w:tr w14:paraId="2600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3BCE9E72">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eastAsia" w:ascii="Times New Roman" w:hAnsi="Times New Roman" w:cs="Times New Roman"/>
                <w:i w:val="0"/>
                <w:iCs w:val="0"/>
                <w:caps w:val="0"/>
                <w:color w:val="333333"/>
                <w:spacing w:val="0"/>
                <w:sz w:val="20"/>
                <w:szCs w:val="20"/>
                <w:shd w:val="clear" w:fill="FFFFFF"/>
                <w:vertAlign w:val="baseline"/>
                <w:lang w:val="en-US" w:eastAsia="zh-CN"/>
              </w:rPr>
              <w:t>11</w:t>
            </w:r>
          </w:p>
        </w:tc>
        <w:tc>
          <w:tcPr>
            <w:tcW w:w="11815" w:type="dxa"/>
            <w:vAlign w:val="center"/>
          </w:tcPr>
          <w:p w14:paraId="47621F02">
            <w:pPr>
              <w:spacing w:line="240" w:lineRule="auto"/>
              <w:jc w:val="left"/>
              <w:rPr>
                <w:rFonts w:hint="eastAsia" w:ascii="Times New Roman" w:hAnsi="Times New Roman" w:eastAsia="仿宋" w:cs="Times New Roman"/>
                <w:b w:val="0"/>
                <w:bCs w:val="0"/>
                <w:sz w:val="20"/>
                <w:szCs w:val="20"/>
                <w:vertAlign w:val="baseline"/>
                <w:lang w:val="en-US" w:eastAsia="zh-CN"/>
              </w:rPr>
            </w:pPr>
            <w:r>
              <w:rPr>
                <w:rFonts w:hint="eastAsia" w:ascii="Times New Roman" w:hAnsi="Times New Roman" w:eastAsia="仿宋" w:cs="Times New Roman"/>
                <w:b w:val="0"/>
                <w:bCs w:val="0"/>
                <w:sz w:val="21"/>
                <w:szCs w:val="21"/>
                <w:vertAlign w:val="baseline"/>
                <w:lang w:val="en-US" w:eastAsia="zh-CN"/>
              </w:rPr>
              <w:t>围手术期鱼腥草滴眼液超声雾化预防白内障术后干眼症的效果分析</w:t>
            </w:r>
          </w:p>
        </w:tc>
      </w:tr>
      <w:tr w14:paraId="5434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5212BEF5">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eastAsia" w:ascii="Times New Roman" w:hAnsi="Times New Roman" w:cs="Times New Roman"/>
                <w:i w:val="0"/>
                <w:iCs w:val="0"/>
                <w:caps w:val="0"/>
                <w:color w:val="333333"/>
                <w:spacing w:val="0"/>
                <w:sz w:val="20"/>
                <w:szCs w:val="20"/>
                <w:shd w:val="clear" w:fill="FFFFFF"/>
                <w:vertAlign w:val="baseline"/>
                <w:lang w:val="en-US" w:eastAsia="zh-CN"/>
              </w:rPr>
              <w:t>12</w:t>
            </w:r>
          </w:p>
        </w:tc>
        <w:tc>
          <w:tcPr>
            <w:tcW w:w="11815" w:type="dxa"/>
            <w:vAlign w:val="center"/>
          </w:tcPr>
          <w:p w14:paraId="0264CF7B">
            <w:pPr>
              <w:spacing w:line="240" w:lineRule="auto"/>
              <w:jc w:val="left"/>
              <w:rPr>
                <w:rFonts w:hint="eastAsia" w:ascii="Times New Roman" w:hAnsi="Times New Roman" w:eastAsia="仿宋" w:cs="Times New Roman"/>
                <w:b w:val="0"/>
                <w:bCs w:val="0"/>
                <w:sz w:val="20"/>
                <w:szCs w:val="20"/>
                <w:vertAlign w:val="baseline"/>
                <w:lang w:val="en-US" w:eastAsia="zh-CN"/>
              </w:rPr>
            </w:pPr>
            <w:r>
              <w:rPr>
                <w:rFonts w:hint="eastAsia" w:ascii="Times New Roman" w:hAnsi="Times New Roman" w:eastAsia="仿宋" w:cs="Times New Roman"/>
                <w:b w:val="0"/>
                <w:bCs w:val="0"/>
                <w:sz w:val="21"/>
                <w:szCs w:val="21"/>
                <w:vertAlign w:val="baseline"/>
                <w:lang w:val="en-US" w:eastAsia="zh-CN"/>
              </w:rPr>
              <w:t>基于NOX4/ROS/PI3K通路探讨黄芩苷调控胃癌氧化应激抑制巨噬细胞极化的机制研究</w:t>
            </w:r>
          </w:p>
        </w:tc>
      </w:tr>
      <w:tr w14:paraId="523C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F029F64">
            <w:pPr>
              <w:spacing w:line="240" w:lineRule="auto"/>
              <w:jc w:val="center"/>
              <w:rPr>
                <w:rFonts w:hint="default" w:ascii="Times New Roman" w:hAnsi="Times New Roman" w:cs="Times New Roman"/>
                <w:i w:val="0"/>
                <w:iCs w:val="0"/>
                <w:caps w:val="0"/>
                <w:color w:val="333333"/>
                <w:spacing w:val="0"/>
                <w:sz w:val="20"/>
                <w:szCs w:val="20"/>
                <w:shd w:val="clear" w:fill="FFFFFF"/>
                <w:vertAlign w:val="baseline"/>
                <w:lang w:val="en-US" w:eastAsia="zh-CN"/>
              </w:rPr>
            </w:pPr>
            <w:r>
              <w:rPr>
                <w:rFonts w:hint="eastAsia" w:ascii="Times New Roman" w:hAnsi="Times New Roman" w:cs="Times New Roman"/>
                <w:i w:val="0"/>
                <w:iCs w:val="0"/>
                <w:caps w:val="0"/>
                <w:color w:val="333333"/>
                <w:spacing w:val="0"/>
                <w:sz w:val="20"/>
                <w:szCs w:val="20"/>
                <w:shd w:val="clear" w:fill="FFFFFF"/>
                <w:vertAlign w:val="baseline"/>
                <w:lang w:val="en-US" w:eastAsia="zh-CN"/>
              </w:rPr>
              <w:t>13</w:t>
            </w:r>
          </w:p>
        </w:tc>
        <w:tc>
          <w:tcPr>
            <w:tcW w:w="11815" w:type="dxa"/>
            <w:vAlign w:val="center"/>
          </w:tcPr>
          <w:p w14:paraId="59D5E86D">
            <w:pPr>
              <w:spacing w:line="240" w:lineRule="auto"/>
              <w:jc w:val="left"/>
              <w:rPr>
                <w:rFonts w:hint="eastAsia" w:ascii="Times New Roman" w:hAnsi="Times New Roman" w:eastAsia="仿宋" w:cs="Times New Roman"/>
                <w:b w:val="0"/>
                <w:bCs w:val="0"/>
                <w:sz w:val="20"/>
                <w:szCs w:val="20"/>
                <w:vertAlign w:val="baseline"/>
                <w:lang w:val="en-US" w:eastAsia="zh-CN"/>
              </w:rPr>
            </w:pPr>
            <w:r>
              <w:rPr>
                <w:rFonts w:hint="eastAsia" w:ascii="Times New Roman" w:hAnsi="Times New Roman" w:eastAsia="仿宋" w:cs="Times New Roman"/>
                <w:b w:val="0"/>
                <w:bCs w:val="0"/>
                <w:sz w:val="21"/>
                <w:szCs w:val="21"/>
                <w:vertAlign w:val="baseline"/>
                <w:lang w:val="en-US" w:eastAsia="zh-CN"/>
              </w:rPr>
              <w:t>中医专科护士主导的MDT模式在干预高脂血症型胰腺炎临床结局中的应用研究</w:t>
            </w:r>
          </w:p>
        </w:tc>
      </w:tr>
    </w:tbl>
    <w:p w14:paraId="682961F2">
      <w:pPr>
        <w:rPr>
          <w:rFonts w:hint="default" w:ascii="sans-serif" w:hAnsi="sans-serif" w:cs="sans-serif"/>
          <w:i w:val="0"/>
          <w:iCs w:val="0"/>
          <w:caps w:val="0"/>
          <w:color w:val="333333"/>
          <w:spacing w:val="0"/>
          <w:sz w:val="20"/>
          <w:szCs w:val="20"/>
          <w:shd w:val="clear" w:fill="FFFFFF"/>
          <w:lang w:val="en-US" w:eastAsia="zh-CN"/>
        </w:rPr>
      </w:pPr>
    </w:p>
    <w:p w14:paraId="0F969A30">
      <w:pPr>
        <w:rPr>
          <w:rFonts w:hint="default" w:ascii="sans-serif" w:hAnsi="sans-serif" w:cs="sans-serif"/>
          <w:i w:val="0"/>
          <w:iCs w:val="0"/>
          <w:caps w:val="0"/>
          <w:color w:val="333333"/>
          <w:spacing w:val="0"/>
          <w:sz w:val="20"/>
          <w:szCs w:val="20"/>
          <w:shd w:val="clear" w:fill="FFFFFF"/>
          <w:lang w:val="en-US" w:eastAsia="zh-CN"/>
        </w:rPr>
      </w:pPr>
    </w:p>
    <w:p w14:paraId="6246682A">
      <w:pPr>
        <w:rPr>
          <w:rFonts w:hint="default" w:ascii="sans-serif" w:hAnsi="sans-serif" w:cs="sans-serif"/>
          <w:i w:val="0"/>
          <w:iCs w:val="0"/>
          <w:caps w:val="0"/>
          <w:color w:val="333333"/>
          <w:spacing w:val="0"/>
          <w:sz w:val="20"/>
          <w:szCs w:val="20"/>
          <w:shd w:val="clear" w:fill="FFFFFF"/>
          <w:lang w:val="en-US" w:eastAsia="zh-CN"/>
        </w:rPr>
      </w:pPr>
    </w:p>
    <w:p w14:paraId="70155A79">
      <w:pPr>
        <w:rPr>
          <w:rFonts w:hint="default" w:ascii="sans-serif" w:hAnsi="sans-serif" w:cs="sans-serif"/>
          <w:i w:val="0"/>
          <w:iCs w:val="0"/>
          <w:caps w:val="0"/>
          <w:color w:val="333333"/>
          <w:spacing w:val="0"/>
          <w:sz w:val="20"/>
          <w:szCs w:val="20"/>
          <w:shd w:val="clear" w:fill="FFFFFF"/>
          <w:lang w:val="en-US" w:eastAsia="zh-CN"/>
        </w:rPr>
      </w:pPr>
    </w:p>
    <w:p w14:paraId="498876E2">
      <w:pPr>
        <w:rPr>
          <w:rFonts w:hint="eastAsia" w:ascii="sans-serif" w:hAnsi="sans-serif" w:cs="sans-serif"/>
          <w:i w:val="0"/>
          <w:iCs w:val="0"/>
          <w:caps w:val="0"/>
          <w:color w:val="333333"/>
          <w:spacing w:val="0"/>
          <w:sz w:val="20"/>
          <w:szCs w:val="20"/>
          <w:shd w:val="clear" w:fill="FFFFFF"/>
          <w:lang w:val="en-US" w:eastAsia="zh-CN"/>
        </w:rPr>
      </w:pPr>
    </w:p>
    <w:p w14:paraId="4850EE69">
      <w:pPr>
        <w:rPr>
          <w:rFonts w:hint="eastAsia" w:ascii="sans-serif" w:hAnsi="sans-serif" w:cs="sans-serif"/>
          <w:i w:val="0"/>
          <w:iCs w:val="0"/>
          <w:caps w:val="0"/>
          <w:color w:val="333333"/>
          <w:spacing w:val="0"/>
          <w:sz w:val="20"/>
          <w:szCs w:val="20"/>
          <w:shd w:val="clear" w:fill="FFFFFF"/>
          <w:lang w:val="en-US" w:eastAsia="zh-CN"/>
        </w:rPr>
      </w:pPr>
    </w:p>
    <w:p w14:paraId="282124BD">
      <w:pPr>
        <w:rPr>
          <w:rFonts w:hint="eastAsia" w:ascii="sans-serif" w:hAnsi="sans-serif" w:cs="sans-serif"/>
          <w:i w:val="0"/>
          <w:iCs w:val="0"/>
          <w:caps w:val="0"/>
          <w:color w:val="333333"/>
          <w:spacing w:val="0"/>
          <w:sz w:val="20"/>
          <w:szCs w:val="20"/>
          <w:shd w:val="clear" w:fill="FFFFFF"/>
          <w:lang w:val="en-US" w:eastAsia="zh-CN"/>
        </w:rPr>
      </w:pPr>
    </w:p>
    <w:p w14:paraId="0816125A">
      <w:pPr>
        <w:rPr>
          <w:rFonts w:hint="eastAsia" w:ascii="sans-serif" w:hAnsi="sans-serif" w:cs="sans-serif"/>
          <w:i w:val="0"/>
          <w:iCs w:val="0"/>
          <w:caps w:val="0"/>
          <w:color w:val="333333"/>
          <w:spacing w:val="0"/>
          <w:sz w:val="20"/>
          <w:szCs w:val="20"/>
          <w:shd w:val="clear" w:fill="FFFFFF"/>
          <w:lang w:val="en-US" w:eastAsia="zh-CN"/>
        </w:rPr>
      </w:pPr>
    </w:p>
    <w:p w14:paraId="6BAFA325">
      <w:pPr>
        <w:rPr>
          <w:rFonts w:hint="eastAsia" w:ascii="sans-serif" w:hAnsi="sans-serif" w:cs="sans-serif"/>
          <w:i w:val="0"/>
          <w:iCs w:val="0"/>
          <w:caps w:val="0"/>
          <w:color w:val="333333"/>
          <w:spacing w:val="0"/>
          <w:sz w:val="20"/>
          <w:szCs w:val="20"/>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40D2A"/>
    <w:rsid w:val="208B7D31"/>
    <w:rsid w:val="2D7F444D"/>
    <w:rsid w:val="31A9266A"/>
    <w:rsid w:val="71CA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930</Words>
  <Characters>1029</Characters>
  <Lines>0</Lines>
  <Paragraphs>0</Paragraphs>
  <TotalTime>0</TotalTime>
  <ScaleCrop>false</ScaleCrop>
  <LinksUpToDate>false</LinksUpToDate>
  <CharactersWithSpaces>1030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2025-01-10T08:45:00Z</dcterms:created>
  <dc:creator>Administrator</dc:creator>
  <cp:lastModifiedBy>封亮</cp:lastModifiedBy>
  <dcterms:modified xsi:type="dcterms:W3CDTF">2025-01-13T02:37:08Z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eyJoZGlkIjoiMTgwNjMyZGE3OWRlZmM3ZWU5MGIwZjA5MmFiNDljNzMiLCJ1c2VySWQiOiI2NTU0MTkzMzQifQ==</vt:lpwstr>
  </property>
  <property fmtid="{D5CDD505-2E9C-101B-9397-08002B2CF9AE}" pid="4" name="ICV">
    <vt:lpwstr>82B8E82D043A4338984D9FD45054F406_13</vt:lpwstr>
  </property>
</Properties>
</file>